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Nova Scotia </w:t>
      </w:r>
      <w:r w:rsidDel="00000000" w:rsidR="00000000" w:rsidRPr="00000000">
        <w:rPr>
          <w:i w:val="1"/>
          <w:color w:val="000000"/>
          <w:sz w:val="24"/>
          <w:szCs w:val="24"/>
          <w:rtl w:val="0"/>
        </w:rPr>
        <w:t xml:space="preserve">Labour Standards Code </w:t>
      </w:r>
      <w:r w:rsidDel="00000000" w:rsidR="00000000" w:rsidRPr="00000000">
        <w:rPr>
          <w:color w:val="000000"/>
          <w:sz w:val="24"/>
          <w:szCs w:val="24"/>
          <w:rtl w:val="0"/>
        </w:rPr>
        <w:t xml:space="preserve">and its regulations, as replaced or amended from time to time (the “LSC”)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7"/>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7"/>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7"/>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8"/>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w:t>
      </w:r>
      <w:r w:rsidDel="00000000" w:rsidR="00000000" w:rsidRPr="00000000">
        <w:rPr>
          <w:b w:val="1"/>
          <w:highlight w:val="yellow"/>
          <w:rtl w:val="0"/>
        </w:rPr>
        <w:t xml:space="preserve"> salaried managers</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 (see https://novascotia.ca/lae/employmentrights/overtime.asp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highlight w:val="yellow"/>
          <w:rtl w:val="0"/>
        </w:rPr>
        <w:t xml:space="preserve">Any hours worked up to 48 hours in a work week are inclusive of the Employee’s annual salary. As per the Nova Scotia Labour Standards Code Minimum Wage Order, managers, supervisors, and employees employed in a confidential capacity, including managers and supervisors in the construction industry, will receive overtime pay at 1 and 1/2 times the current minimum wage after 48 hours worked in a week.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Labour Standards Code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(“LSC”) and the Employer's overtime policies. The Employee is not entitled to work more than 48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6">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three (3) months after commencing their employment (the “Probationary Period”).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8">
      <w:pPr>
        <w:numPr>
          <w:ilvl w:val="0"/>
          <w:numId w:val="6"/>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highlight w:val="yellow"/>
          <w:rtl w:val="0"/>
        </w:rPr>
        <w:t xml:space="preserve">The Employee’s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w:t>
      </w:r>
      <w:r w:rsidDel="00000000" w:rsidR="00000000" w:rsidRPr="00000000">
        <w:rPr>
          <w:i w:val="1"/>
          <w:highlight w:val="yellow"/>
          <w:rtl w:val="0"/>
        </w:rPr>
        <w:t xml:space="preserve">if applicable</w:t>
      </w:r>
      <w:r w:rsidDel="00000000" w:rsidR="00000000" w:rsidRPr="00000000">
        <w:rPr>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2A">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highlight w:val="yellow"/>
          <w:rtl w:val="0"/>
        </w:rPr>
        <w:t xml:space="preserve">The Employee </w:t>
      </w:r>
      <w:r w:rsidDel="00000000" w:rsidR="00000000" w:rsidRPr="00000000">
        <w:rPr>
          <w:color w:val="000000"/>
          <w:highlight w:val="yellow"/>
          <w:rtl w:val="0"/>
        </w:rPr>
        <w:t xml:space="preserve">will accrue sick time benefit of up to [X] days in a calendar year, prorated from </w:t>
      </w:r>
      <w:r w:rsidDel="00000000" w:rsidR="00000000" w:rsidRPr="00000000">
        <w:rPr>
          <w:highlight w:val="yellow"/>
          <w:rtl w:val="0"/>
        </w:rPr>
        <w:t xml:space="preserve">thei</w:t>
      </w:r>
      <w:r w:rsidDel="00000000" w:rsidR="00000000" w:rsidRPr="00000000">
        <w:rPr>
          <w:color w:val="000000"/>
          <w:highlight w:val="yellow"/>
          <w:rtl w:val="0"/>
        </w:rPr>
        <w:t xml:space="preserve">r start date. The Emp</w:t>
      </w:r>
      <w:r w:rsidDel="00000000" w:rsidR="00000000" w:rsidRPr="00000000">
        <w:rPr>
          <w:highlight w:val="yellow"/>
          <w:rtl w:val="0"/>
        </w:rPr>
        <w:t xml:space="preserve">loyee</w:t>
      </w:r>
      <w:r w:rsidDel="00000000" w:rsidR="00000000" w:rsidRPr="00000000">
        <w:rPr>
          <w:color w:val="000000"/>
          <w:highlight w:val="yellow"/>
          <w:rtl w:val="0"/>
        </w:rPr>
        <w:t xml:space="preserve"> must earn </w:t>
      </w:r>
      <w:r w:rsidDel="00000000" w:rsidR="00000000" w:rsidRPr="00000000">
        <w:rPr>
          <w:highlight w:val="yellow"/>
          <w:rtl w:val="0"/>
        </w:rPr>
        <w:t xml:space="preserve">thei</w:t>
      </w:r>
      <w:r w:rsidDel="00000000" w:rsidR="00000000" w:rsidRPr="00000000">
        <w:rPr>
          <w:color w:val="000000"/>
          <w:highlight w:val="yellow"/>
          <w:rtl w:val="0"/>
        </w:rPr>
        <w:t xml:space="preserve">r paid sick time benefit before </w:t>
      </w:r>
      <w:r w:rsidDel="00000000" w:rsidR="00000000" w:rsidRPr="00000000">
        <w:rPr>
          <w:highlight w:val="yellow"/>
          <w:rtl w:val="0"/>
        </w:rPr>
        <w:t xml:space="preserve">they</w:t>
      </w:r>
      <w:r w:rsidDel="00000000" w:rsidR="00000000" w:rsidRPr="00000000">
        <w:rPr>
          <w:color w:val="000000"/>
          <w:highlight w:val="yellow"/>
          <w:rtl w:val="0"/>
        </w:rPr>
        <w:t xml:space="preserve">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LSC and shall not be entitled to any bonus payment(s) beyond the LSC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E">
      <w:pPr>
        <w:numPr>
          <w:ilvl w:val="0"/>
          <w:numId w:val="7"/>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2F">
      <w:pPr>
        <w:spacing w:after="0" w:line="240" w:lineRule="auto"/>
        <w:rPr>
          <w:highlight w:val="yellow"/>
        </w:rPr>
      </w:pPr>
      <w:r w:rsidDel="00000000" w:rsidR="00000000" w:rsidRPr="00000000">
        <w:rPr>
          <w:rtl w:val="0"/>
        </w:rPr>
      </w:r>
    </w:p>
    <w:p w:rsidR="00000000" w:rsidDel="00000000" w:rsidP="00000000" w:rsidRDefault="00000000" w:rsidRPr="00000000" w14:paraId="00000030">
      <w:pPr>
        <w:numPr>
          <w:ilvl w:val="1"/>
          <w:numId w:val="7"/>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oxd97s2rhiwr"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LSC and shall not be entitled to benefits continuation or payment(s) beyond the LSC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7"/>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highlight w:val="yellow"/>
          <w:rtl w:val="0"/>
        </w:rPr>
        <w:t xml:space="preserve">This offer is conditional upon providing: </w:t>
      </w:r>
      <w:r w:rsidDel="00000000" w:rsidR="00000000" w:rsidRPr="00000000">
        <w:rPr>
          <w:b w:val="1"/>
          <w:highlight w:val="yellow"/>
          <w:rtl w:val="0"/>
        </w:rPr>
        <w:t xml:space="preserve">Select</w:t>
      </w:r>
      <w:r w:rsidDel="00000000" w:rsidR="00000000" w:rsidRPr="00000000">
        <w:rPr>
          <w:b w:val="1"/>
          <w:color w:val="000000"/>
          <w:highlight w:val="yellow"/>
          <w:rtl w:val="0"/>
        </w:rPr>
        <w:t xml:space="preserve"> </w:t>
      </w:r>
      <w:r w:rsidDel="00000000" w:rsidR="00000000" w:rsidRPr="00000000">
        <w:rPr>
          <w:b w:val="1"/>
          <w:highlight w:val="yellow"/>
          <w:rtl w:val="0"/>
        </w:rPr>
        <w:t xml:space="preserve">which, if any, apply:</w:t>
      </w:r>
      <w:r w:rsidDel="00000000" w:rsidR="00000000" w:rsidRPr="00000000">
        <w:rPr>
          <w:color w:val="000000"/>
          <w:highlight w:val="yellow"/>
          <w:rtl w:val="0"/>
        </w:rPr>
        <w:t xml:space="preserve"> proof of a valid drivers’ licence, valid insurance, a satisfactory drivers’ abstract, a vulnerable sector check, a criminal records check, as determined by the Employer. As </w:t>
      </w:r>
      <w:r w:rsidDel="00000000" w:rsidR="00000000" w:rsidRPr="00000000">
        <w:rPr>
          <w:highlight w:val="yellow"/>
          <w:rtl w:val="0"/>
        </w:rPr>
        <w:t xml:space="preserve">a condition</w:t>
      </w:r>
      <w:r w:rsidDel="00000000" w:rsidR="00000000" w:rsidRPr="00000000">
        <w:rPr>
          <w:color w:val="000000"/>
          <w:highlight w:val="yellow"/>
          <w:rtl w:val="0"/>
        </w:rPr>
        <w:t xml:space="preserve"> of employment these requirements must remain valid, in place and in good standing.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6">
      <w:pPr>
        <w:numPr>
          <w:ilvl w:val="0"/>
          <w:numId w:val="9"/>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7">
      <w:pPr>
        <w:spacing w:after="0" w:line="240" w:lineRule="auto"/>
        <w:ind w:left="720" w:firstLine="0"/>
        <w:rPr/>
      </w:pPr>
      <w:r w:rsidDel="00000000" w:rsidR="00000000" w:rsidRPr="00000000">
        <w:rPr>
          <w:rtl w:val="0"/>
        </w:rPr>
      </w:r>
    </w:p>
    <w:p w:rsidR="00000000" w:rsidDel="00000000" w:rsidP="00000000" w:rsidRDefault="00000000" w:rsidRPr="00000000" w14:paraId="00000038">
      <w:pPr>
        <w:numPr>
          <w:ilvl w:val="0"/>
          <w:numId w:val="9"/>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9">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B">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D">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w:t>
      </w:r>
      <w:r w:rsidDel="00000000" w:rsidR="00000000" w:rsidRPr="00000000">
        <w:rPr>
          <w:rtl w:val="0"/>
        </w:rPr>
        <w:t xml:space="preserve">’s</w:t>
      </w:r>
      <w:r w:rsidDel="00000000" w:rsidR="00000000" w:rsidRPr="00000000">
        <w:rPr>
          <w:color w:val="000000"/>
          <w:rtl w:val="0"/>
        </w:rPr>
        <w:t xml:space="preserve"> 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p>
    <w:p w:rsidR="00000000" w:rsidDel="00000000" w:rsidP="00000000" w:rsidRDefault="00000000" w:rsidRPr="00000000" w14:paraId="0000003E">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3F">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Nova Scotia. The Employee therefore agrees that they will not relocate outside of Nova Scotia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0">
      <w:pPr>
        <w:spacing w:after="0" w:line="240" w:lineRule="auto"/>
        <w:jc w:val="both"/>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LSC.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LSC.</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LSC.</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LSC for notice of termination or pay in lieu of notice (or a combination of both) and any other applicable minimum payments or entitlements that are required under the LSC, including but not limited to benefits continuation, vacation entitlements, non-discretionary bonuses, and severance pay.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of termination or pay in lieu of notice (unless otherwise required by the LSC) where the Employer finds that there is just cause to do so, or for any other reason permitted under the LSC and its regulations, as amended from time to time.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LSC.</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LSC.</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8">
      <w:pPr>
        <w:spacing w:after="0" w:line="240" w:lineRule="auto"/>
        <w:ind w:left="720" w:firstLine="0"/>
        <w:rPr/>
      </w:pPr>
      <w:r w:rsidDel="00000000" w:rsidR="00000000" w:rsidRPr="00000000">
        <w:rPr>
          <w:rtl w:val="0"/>
        </w:rPr>
      </w:r>
    </w:p>
    <w:p w:rsidR="00000000" w:rsidDel="00000000" w:rsidP="00000000" w:rsidRDefault="00000000" w:rsidRPr="00000000" w14:paraId="00000059">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A">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B">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C">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D">
      <w:pPr>
        <w:spacing w:after="0" w:line="240" w:lineRule="auto"/>
        <w:ind w:left="426"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5F">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7">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9">
      <w:pPr>
        <w:spacing w:after="0" w:line="240" w:lineRule="auto"/>
        <w:ind w:left="720" w:firstLine="0"/>
        <w:rPr/>
      </w:pPr>
      <w:r w:rsidDel="00000000" w:rsidR="00000000" w:rsidRPr="00000000">
        <w:rPr>
          <w:rtl w:val="0"/>
        </w:rPr>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E">
      <w:pPr>
        <w:spacing w:after="0" w:line="240" w:lineRule="auto"/>
        <w:ind w:left="720" w:firstLine="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LSC.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8">
      <w:pPr>
        <w:spacing w:after="0" w:line="240" w:lineRule="auto"/>
        <w:ind w:left="720" w:firstLine="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LSC</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LSC. If there is a conflict between this Agreement and the LSC, then the LSC will prevail unless the LSC</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C">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0">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4">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8">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4">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Province of Nova Scotia, and the federal laws of Canada applicable in that province, and the parties agree and attorn to the exclusive jurisdiction of the courts of the Province of Nova Scotia in relation to the enforcement of this Agreement.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9">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9F">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0">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1">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2">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3">
      <w:pPr>
        <w:numPr>
          <w:ilvl w:val="2"/>
          <w:numId w:val="11"/>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A4">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t xml:space="preserve">Sincerely yours,</w:t>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C">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D">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E">
      <w:pPr>
        <w:shd w:fill="ffffff" w:val="clear"/>
        <w:spacing w:after="0" w:line="240" w:lineRule="auto"/>
        <w:rPr/>
      </w:pPr>
      <w:r w:rsidDel="00000000" w:rsidR="00000000" w:rsidRPr="00000000">
        <w:rPr>
          <w:rtl w:val="0"/>
        </w:rPr>
      </w:r>
    </w:p>
    <w:p w:rsidR="00000000" w:rsidDel="00000000" w:rsidP="00000000" w:rsidRDefault="00000000" w:rsidRPr="00000000" w14:paraId="000000AF">
      <w:pP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4">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5">
            <w:pPr>
              <w:spacing w:after="0" w:line="240" w:lineRule="auto"/>
              <w:rPr/>
            </w:pPr>
            <w:r w:rsidDel="00000000" w:rsidR="00000000" w:rsidRPr="00000000">
              <w:rPr>
                <w:rtl w:val="0"/>
              </w:rPr>
            </w:r>
          </w:p>
        </w:tc>
        <w:tc>
          <w:tcPr>
            <w:vAlign w:val="bottom"/>
          </w:tcPr>
          <w:p w:rsidR="00000000" w:rsidDel="00000000" w:rsidP="00000000" w:rsidRDefault="00000000" w:rsidRPr="00000000" w14:paraId="000000B6">
            <w:pPr>
              <w:spacing w:after="0" w:line="240" w:lineRule="auto"/>
              <w:rPr/>
            </w:pPr>
            <w:r w:rsidDel="00000000" w:rsidR="00000000" w:rsidRPr="00000000">
              <w:rPr>
                <w:rtl w:val="0"/>
              </w:rPr>
            </w:r>
          </w:p>
        </w:tc>
        <w:tc>
          <w:tcPr>
            <w:vAlign w:val="bottom"/>
          </w:tcPr>
          <w:p w:rsidR="00000000" w:rsidDel="00000000" w:rsidP="00000000" w:rsidRDefault="00000000" w:rsidRPr="00000000" w14:paraId="000000B7">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8">
            <w:pPr>
              <w:spacing w:after="0" w:line="240" w:lineRule="auto"/>
              <w:rPr/>
            </w:pPr>
            <w:r w:rsidDel="00000000" w:rsidR="00000000" w:rsidRPr="00000000">
              <w:rPr>
                <w:rtl w:val="0"/>
              </w:rPr>
            </w:r>
          </w:p>
        </w:tc>
      </w:tr>
    </w:tbl>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RdtONN5NboGnLOCrxDmU1mEtQ==">CgMxLjAyCWlkLmxueGJ6OTIQa2l4Lm94ZDk3czJyaGl3cjIJaC4yZXQ5MnAwMghoLnR5amN3dDIJaC4zZHk2dmttMgppZC4yanhzeHFoMgppZC40NHNpbmlvMglpZC56MzM3eWEyCmlkLjNqMnFxbTMyCmlkLjF5ODEwdHcyCmlkLjRpN29qaHAyCmlkLjJ4Y3l0cGkyCmlkLjFjaTkzeGIyCmlkLjN3aHdtbDQyCmlkLjJibjZ3c3g4AHIhMXN4VmtaT043MjFHeG9rZ0ExOXFGRWR6VTRIQ0c3SU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2024-05-05T14:52:00Z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